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56"/>
          <w:szCs w:val="56"/>
          <w:rtl w:val="0"/>
        </w:rPr>
        <w:t xml:space="preserve">AMY McLAREN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before="0" w:lineRule="auto"/>
        <w:rPr/>
      </w:pPr>
      <w:r w:rsidDel="00000000" w:rsidR="00000000" w:rsidRPr="00000000">
        <w:rPr>
          <w:rFonts w:ascii="Garamond" w:cs="Garamond" w:eastAsia="Garamond" w:hAnsi="Garamond"/>
          <w:sz w:val="19"/>
          <w:szCs w:val="19"/>
          <w:rtl w:val="0"/>
        </w:rPr>
        <w:t xml:space="preserve">Rochedale South, Brisbane QLD 4123  |  0493 014 625  |  amy.j.g.mclaren@gmail.com  | linkedin.com/in/amy-mclaren-a199521a4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after="80" w:before="280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40" w:lineRule="auto"/>
        <w:rPr/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Brings a mix of government experience, science training, and hands-on commercial work. At the Ministry of Education, managed complex casework in a high-volume government team. At Precycle NZ, built the sales function from scratch and brought in over $100K in contracts. Communicates clearly, picks things up fast, and takes ownership of outcomes. Now based in Brisbane with full Australian working rights.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spacing w:after="80" w:before="280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40" w:lineRule="auto"/>
        <w:rPr/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Stakeholder Engagement and Relationship Management  |  Community Consultation  |  Policy Implementation and Compliance  |  Government Administration  |  Service Delivery  | Strategic Communications  |  Report Writing and Documentation  |  Data Analysis and Evaluation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 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Procurement and Contract Management  |  Cross-Agency Collaboration  |  Business Development  |  Client Relationship Management  |  Records Management  |  Microsoft 365 Suite (Advanced)  |  GSuite (Advanced)  |  HubSpot CRM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after="80" w:before="280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" w:before="180" w:lineRule="auto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Sales and Marketing Lead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spacing w:after="20" w:before="0" w:lineRule="auto"/>
        <w:rPr/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Precycle NZ  |  Palmerston North, NZ  |  May 2024 – Jan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60" w:before="40" w:lineRule="auto"/>
        <w:rPr/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Sole person responsible for sales, marketing, and business development at a waste management startup. Built the commercial function from nothing and generated most of the company’s revenue.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0" w:before="100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Business Development and Stakeholder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Brought in $100,000+ in contracts (around 80% of total company revenue) through direct outreach, proposal writing, and building relationships with decision-makers across five industries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Wrote proposals and business cases for clients across construction, food manufacturing, retail, research, and distribution, making technical information clear and relevant to each audience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Built and maintained working relationships with senior contacts at Foodstuffs NZ, Southern Cross Hospitals, Plant and Food Research, and GJ Gardner Homes, securing signed contracts across all four organisations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Represented the organisation at regional business networks including Manawatū Business Chamber, building the company’s profile across the sector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Completed professional business development training through the ThinkRight Sales Programme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30" w:before="100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Strategic Communications and Campaign Delivery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Ran a Clean Up Week campaign with Palmerston North BID that tripled attendance to 50+ people and got 13,000+ video views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Made a Toyota NZ case study video showing 50% waste diversion results, which became a key sales tool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Created and maintained six months of consistent social media content, building the brand from scratch across multiple platforms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Applied for and secured $1,000 in community grant funding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" w:before="180" w:lineRule="auto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Resourcing Officer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spacing w:after="20" w:before="0" w:lineRule="auto"/>
        <w:rPr/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Ministry of Education  |  Wellington, NZ  |  March 2022 – January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60" w:before="40" w:lineRule="auto"/>
        <w:rPr/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Handled complex resourcing cases for schools across New Zealand, working directly with principals, administrators, and community representatives in a busy government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Managed a high volume of resourcing inquiries, consistently hitting accuracy and response time targets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Gave advice on government resourcing policy and legislation to school leaders and administrators, becoming a reliable point of contact for complex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Completed Ministry training in Te Tiriti o Waitangi and applied those principles in day-to-day work with Māori communities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Worked with other internal teams to resolve escalated cases quickly and keep service quality consistent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Kept accurate case records and documentation using Ministry systems, meeting reporting and information governance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Became proficient in Microsoft 365 and Ministry-specific platforms, supporting efficient workload management across a high volume of cases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" w:before="18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Early Childhood Music Tutor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" w:before="0" w:lineRule="auto"/>
        <w:rPr/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Apollo/Encore School of Music  |  Palmerston North, NZ  |  March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Taught music to children aged 1–5, adapting each session to suit different learning needs and 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Maintained regular communication with parents on progress, and adapted curriculum to suit different developmental stages and learning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" w:before="18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Laboratory Technician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" w:before="0" w:lineRule="auto"/>
        <w:rPr/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Central Environmental Laboratories  |  Palmerston North, NZ  |  January 2018 – February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Carried out water quality testing and environmental monitoring to regulatory standards, keeping accurate records throughout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Explained technical findings about wastewater impacts to local iwi in plain language, working respectfully across cultural contexts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Kept detailed compliance records across testing, disposal, admin, and field sampling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000000" w:space="1" w:sz="4" w:val="single"/>
        </w:pBdr>
        <w:spacing w:after="80" w:before="280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EDUCATION AND 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" w:before="100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"/>
          <w:szCs w:val="21"/>
          <w:rtl w:val="0"/>
        </w:rPr>
        <w:t xml:space="preserve">Bachelor of Science – Microbiology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60" w:before="40" w:lineRule="auto"/>
        <w:rPr/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Massey University  | 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30" w:before="100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0"/>
          <w:szCs w:val="20"/>
          <w:rtl w:val="0"/>
        </w:rPr>
        <w:t xml:space="preserve">Professional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Comprehensive First Aid Certificate – MediTrain Ltd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ThinkRight Sales Training Programme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000000" w:space="1" w:sz="4" w:val="single"/>
        </w:pBdr>
        <w:spacing w:after="80" w:before="280" w:lineRule="auto"/>
        <w:rPr/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ADDITIONAL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Australian working rights confirmed; currently residing in Brisbane, QLD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Performing artist with experience in musical theatre, live music, and community-facing roles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Able to shoot, edit, and produce video content and design marketing materials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480" w:right="0" w:hanging="240"/>
        <w:jc w:val="left"/>
        <w:rPr/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Comfortable presenting publicly: podcast appearances, community events, and stakeholder 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20" w:lineRule="auto"/>
        <w:jc w:val="center"/>
        <w:rPr/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18"/>
          <w:szCs w:val="18"/>
          <w:rtl w:val="0"/>
        </w:rPr>
        <w:t xml:space="preserve">References available upon request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480" w:hanging="24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vQMRVJdsY6NAiILalOMvkpiDVQ==">CgMxLjA4AHIhMUF3cS13MVZmejRwdVU2ejRJLXl2Rk5GMDdqUk82cEVu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2026-03-08T01:05:03.043Z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